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67CD7" w:rsidRPr="00316C76" w:rsidRDefault="00000000">
      <w:pPr>
        <w:pStyle w:val="Title"/>
        <w:rPr>
          <w:rFonts w:ascii="Roboto" w:hAnsi="Roboto"/>
        </w:rPr>
        <w:sectPr w:rsidR="00E67CD7" w:rsidRPr="00316C76" w:rsidSect="00316C76">
          <w:headerReference w:type="default" r:id="rId8"/>
          <w:footerReference w:type="default" r:id="rId9"/>
          <w:pgSz w:w="11906" w:h="16838"/>
          <w:pgMar w:top="1701" w:right="1440" w:bottom="816" w:left="1440" w:header="431" w:footer="1134" w:gutter="0"/>
          <w:pgNumType w:start="1"/>
          <w:cols w:space="720"/>
        </w:sectPr>
      </w:pPr>
      <w:bookmarkStart w:id="0" w:name="_heading=h.gjdgxs" w:colFirst="0" w:colLast="0"/>
      <w:bookmarkEnd w:id="0"/>
      <w:r w:rsidRPr="00316C76">
        <w:rPr>
          <w:rFonts w:ascii="Roboto" w:hAnsi="Roboto"/>
          <w:noProof/>
        </w:rPr>
        <w:drawing>
          <wp:anchor distT="0" distB="0" distL="0" distR="0" simplePos="0" relativeHeight="251658240" behindDoc="0" locked="0" layoutInCell="1" hidden="0" allowOverlap="1">
            <wp:simplePos x="0" y="0"/>
            <wp:positionH relativeFrom="page">
              <wp:posOffset>0</wp:posOffset>
            </wp:positionH>
            <wp:positionV relativeFrom="page">
              <wp:posOffset>0</wp:posOffset>
            </wp:positionV>
            <wp:extent cx="7598249" cy="10735056"/>
            <wp:effectExtent l="0" t="0" r="0" b="0"/>
            <wp:wrapSquare wrapText="bothSides" distT="0" distB="0" distL="0" distR="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53" b="53"/>
                    <a:stretch>
                      <a:fillRect/>
                    </a:stretch>
                  </pic:blipFill>
                  <pic:spPr>
                    <a:xfrm>
                      <a:off x="0" y="0"/>
                      <a:ext cx="7598249" cy="10735056"/>
                    </a:xfrm>
                    <a:prstGeom prst="rect">
                      <a:avLst/>
                    </a:prstGeom>
                    <a:ln/>
                  </pic:spPr>
                </pic:pic>
              </a:graphicData>
            </a:graphic>
          </wp:anchor>
        </w:drawing>
      </w:r>
    </w:p>
    <w:p w:rsidR="00E67CD7" w:rsidRPr="00316C76" w:rsidRDefault="00000000" w:rsidP="008037AC">
      <w:pPr>
        <w:pStyle w:val="Heading1"/>
        <w:widowControl w:val="0"/>
        <w:spacing w:before="44" w:after="0"/>
      </w:pPr>
      <w:bookmarkStart w:id="1" w:name="_heading=h.30j0zll" w:colFirst="0" w:colLast="0"/>
      <w:bookmarkEnd w:id="1"/>
      <w:r w:rsidRPr="00316C76">
        <w:lastRenderedPageBreak/>
        <w:t>EU IVDR Readiness Checklist</w:t>
      </w:r>
    </w:p>
    <w:p w:rsidR="00E67CD7" w:rsidRPr="00316C76" w:rsidRDefault="00000000">
      <w:r w:rsidRPr="00316C76">
        <w:t>This checklist has been created by our industry-leading experts to provide you with an insight into your level of preparedness and understanding of the EU IVDR.</w:t>
      </w:r>
    </w:p>
    <w:p w:rsidR="00E67CD7" w:rsidRPr="00316C76" w:rsidRDefault="00000000">
      <w:pPr>
        <w:pStyle w:val="Heading2"/>
        <w:keepNext w:val="0"/>
        <w:keepLines w:val="0"/>
        <w:widowControl w:val="0"/>
        <w:spacing w:before="328" w:after="0"/>
      </w:pPr>
      <w:bookmarkStart w:id="2" w:name="_heading=h.1fob9te" w:colFirst="0" w:colLast="0"/>
      <w:bookmarkEnd w:id="2"/>
      <w:r w:rsidRPr="00316C76">
        <w:t>Introductory Questions</w:t>
      </w:r>
    </w:p>
    <w:tbl>
      <w:tblPr>
        <w:tblStyle w:val="a4"/>
        <w:tblW w:w="864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60"/>
        <w:gridCol w:w="2160"/>
        <w:gridCol w:w="2160"/>
        <w:gridCol w:w="2160"/>
      </w:tblGrid>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Are you aware of the In Vitro Diagnostics Regulation (IVDR) and how it will impact your company?</w:t>
            </w:r>
          </w:p>
        </w:tc>
      </w:tr>
      <w:tr w:rsidR="00E67CD7"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bookmarkStart w:id="3" w:name="Check1"/>
            <w:r w:rsidRPr="00316C76">
              <w:rPr>
                <w:b/>
                <w:bCs/>
                <w:color w:val="01163B"/>
                <w:sz w:val="14"/>
                <w:szCs w:val="14"/>
              </w:rPr>
              <w:instrText xml:space="preserve"> FORMCHECKBOX </w:instrText>
            </w:r>
            <w:r w:rsidR="00C44493"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bookmarkEnd w:id="3"/>
            <w:r w:rsidR="0019609B" w:rsidRPr="00316C76">
              <w:rPr>
                <w:color w:val="01163B"/>
                <w:sz w:val="14"/>
                <w:szCs w:val="14"/>
              </w:rPr>
              <w:t xml:space="preserve"> </w:t>
            </w:r>
            <w:r w:rsidRPr="00316C76">
              <w:rPr>
                <w:color w:val="01163B"/>
                <w:sz w:val="14"/>
                <w:szCs w:val="14"/>
              </w:rPr>
              <w:t>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00C44493"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Are you aware of the In Vitro Diagnostics Regulation (IVDR) and how it will impact your company?</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Are you planning to take advantage of soft transition for your devices?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done a gap analysis of your current state and the requirements of the IVDR?</w:t>
            </w:r>
          </w:p>
          <w:p w:rsidR="00E67CD7" w:rsidRPr="00316C76" w:rsidRDefault="00E67CD7">
            <w:pPr>
              <w:spacing w:after="0" w:line="240" w:lineRule="auto"/>
              <w:jc w:val="left"/>
              <w:rPr>
                <w:color w:val="01163B"/>
                <w:sz w:val="16"/>
                <w:szCs w:val="16"/>
              </w:rPr>
            </w:pP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If gaps have been identified, do you have a plan in place and are working towards addressing any shortfall?</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identified any additional resources that are required to fulfil your obligations under IVDR (human, budgetary, and training)? Resourcing is also required by Section 6 of ISO 13485, so it’s important to have plans in place to meet these requirements for an ISO 13485 QMS audit.</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 you need to appoint an EU Authorised Representative, according to the requirements in Article 11?</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 xml:space="preserve">If you do require an EUAR, do you have a mandate in place covering </w:t>
            </w:r>
            <w:proofErr w:type="gramStart"/>
            <w:r w:rsidRPr="00316C76">
              <w:rPr>
                <w:color w:val="01163B"/>
                <w:sz w:val="16"/>
                <w:szCs w:val="16"/>
              </w:rPr>
              <w:t>all of</w:t>
            </w:r>
            <w:proofErr w:type="gramEnd"/>
            <w:r w:rsidRPr="00316C76">
              <w:rPr>
                <w:color w:val="01163B"/>
                <w:sz w:val="16"/>
                <w:szCs w:val="16"/>
              </w:rPr>
              <w:t xml:space="preserve"> the EUAR tasks as outlined in Article 11, Section 3?</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76" w:lineRule="auto"/>
              <w:jc w:val="left"/>
              <w:rPr>
                <w:color w:val="01163B"/>
                <w:sz w:val="14"/>
                <w:szCs w:val="14"/>
              </w:rPr>
            </w:pPr>
            <w:r w:rsidRPr="00316C76">
              <w:rPr>
                <w:color w:val="01163B"/>
                <w:sz w:val="15"/>
                <w:szCs w:val="15"/>
              </w:rPr>
              <w:t>Do you need an importer as per article 13?</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76" w:lineRule="auto"/>
              <w:jc w:val="left"/>
              <w:rPr>
                <w:color w:val="01163B"/>
                <w:sz w:val="14"/>
                <w:szCs w:val="14"/>
              </w:rPr>
            </w:pPr>
            <w:r w:rsidRPr="00316C76">
              <w:rPr>
                <w:color w:val="01163B"/>
                <w:sz w:val="15"/>
                <w:szCs w:val="15"/>
              </w:rPr>
              <w:t>Does your distributor understand and agree to their obligations as per article 14?</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bl>
    <w:p w:rsidR="00E67CD7" w:rsidRPr="00316C76" w:rsidRDefault="00000000">
      <w:pPr>
        <w:pStyle w:val="Heading2"/>
        <w:keepNext w:val="0"/>
        <w:keepLines w:val="0"/>
        <w:widowControl w:val="0"/>
        <w:spacing w:before="328" w:after="0"/>
      </w:pPr>
      <w:bookmarkStart w:id="4" w:name="_heading=h.t7tj0xje1dad" w:colFirst="0" w:colLast="0"/>
      <w:bookmarkStart w:id="5" w:name="_heading=h.3znysh7" w:colFirst="0" w:colLast="0"/>
      <w:bookmarkEnd w:id="4"/>
      <w:bookmarkEnd w:id="5"/>
      <w:r w:rsidRPr="00316C76">
        <w:lastRenderedPageBreak/>
        <w:t>Quality Management System</w:t>
      </w:r>
    </w:p>
    <w:tbl>
      <w:tblPr>
        <w:tblStyle w:val="a5"/>
        <w:tblW w:w="864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60"/>
        <w:gridCol w:w="2160"/>
        <w:gridCol w:w="2160"/>
        <w:gridCol w:w="2160"/>
      </w:tblGrid>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 you have an ISO 13485 accredited Quality Management System (QMS) in place?</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If your QMS is solely based on ISO 13485 certification, have you identified and implemented the IVDR QMS requirements according to Article 10, Section 8, that are not covered by ISO 13485?</w:t>
            </w:r>
          </w:p>
          <w:p w:rsidR="00E67CD7" w:rsidRPr="00316C76" w:rsidRDefault="00E67CD7">
            <w:pPr>
              <w:spacing w:after="0" w:line="240" w:lineRule="auto"/>
              <w:jc w:val="left"/>
              <w:rPr>
                <w:color w:val="01163B"/>
                <w:sz w:val="16"/>
                <w:szCs w:val="16"/>
              </w:rPr>
            </w:pPr>
          </w:p>
          <w:p w:rsidR="00E67CD7" w:rsidRPr="00316C76" w:rsidRDefault="00000000">
            <w:pPr>
              <w:spacing w:after="0" w:line="240" w:lineRule="auto"/>
              <w:rPr>
                <w:sz w:val="16"/>
                <w:szCs w:val="16"/>
              </w:rPr>
            </w:pPr>
            <w:r w:rsidRPr="00316C76">
              <w:rPr>
                <w:sz w:val="16"/>
                <w:szCs w:val="16"/>
              </w:rPr>
              <w:t>For example (not exhaustive), procedures for:</w:t>
            </w:r>
          </w:p>
          <w:p w:rsidR="00E67CD7" w:rsidRPr="00316C76" w:rsidRDefault="00000000">
            <w:pPr>
              <w:numPr>
                <w:ilvl w:val="0"/>
                <w:numId w:val="2"/>
              </w:numPr>
              <w:spacing w:after="0" w:line="240" w:lineRule="auto"/>
              <w:ind w:left="314" w:hanging="224"/>
              <w:rPr>
                <w:sz w:val="16"/>
                <w:szCs w:val="16"/>
              </w:rPr>
            </w:pPr>
            <w:r w:rsidRPr="00316C76">
              <w:rPr>
                <w:sz w:val="16"/>
                <w:szCs w:val="16"/>
              </w:rPr>
              <w:t>Performance evaluation in accordance with (Article 56 and Annex XIII IVDR)</w:t>
            </w:r>
          </w:p>
          <w:p w:rsidR="00E67CD7" w:rsidRPr="00316C76" w:rsidRDefault="00000000">
            <w:pPr>
              <w:numPr>
                <w:ilvl w:val="0"/>
                <w:numId w:val="2"/>
              </w:numPr>
              <w:spacing w:after="0" w:line="240" w:lineRule="auto"/>
              <w:ind w:left="314" w:hanging="224"/>
              <w:rPr>
                <w:sz w:val="16"/>
                <w:szCs w:val="16"/>
              </w:rPr>
            </w:pPr>
            <w:r w:rsidRPr="00316C76">
              <w:rPr>
                <w:sz w:val="16"/>
                <w:szCs w:val="16"/>
              </w:rPr>
              <w:t>Risk management as set out in Section 3 of Annex 1</w:t>
            </w:r>
          </w:p>
          <w:p w:rsidR="00E67CD7" w:rsidRPr="00316C76" w:rsidRDefault="00000000">
            <w:pPr>
              <w:numPr>
                <w:ilvl w:val="0"/>
                <w:numId w:val="2"/>
              </w:numPr>
              <w:spacing w:after="0" w:line="240" w:lineRule="auto"/>
              <w:ind w:left="314" w:hanging="224"/>
              <w:rPr>
                <w:sz w:val="16"/>
                <w:szCs w:val="16"/>
              </w:rPr>
            </w:pPr>
            <w:r w:rsidRPr="00316C76">
              <w:rPr>
                <w:sz w:val="16"/>
                <w:szCs w:val="16"/>
              </w:rPr>
              <w:t>Processes for reporting of serious incidents and field safety corrective actions in the context of vigilance</w:t>
            </w:r>
          </w:p>
          <w:p w:rsidR="00E67CD7" w:rsidRPr="00316C76" w:rsidRDefault="00E67CD7">
            <w:pPr>
              <w:spacing w:after="0" w:line="240" w:lineRule="auto"/>
              <w:jc w:val="left"/>
              <w:rPr>
                <w:color w:val="01163B"/>
                <w:sz w:val="16"/>
                <w:szCs w:val="16"/>
              </w:rPr>
            </w:pP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Are you prepared for annual surveillance audits, and unannounced audits alike?</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written a Regulatory Strategy for IVDR compliance, as per Article 10, Section 8(a) and Annex IX, Section 2.2 (c) of the regulation?</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Does your strategy identify all applicable legal requirements, classifications, conformity assessment routes, and any methods that will be employed to meet these requirements?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identified a Person Responsible for Regulatory Compliance (PRRC) within your organisation, according to the requirements in Article 15?</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Does this person have the necessary expertise to fulfil their role, in relation to experience and/or formal qualifications?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bl>
    <w:p w:rsidR="00E67CD7" w:rsidRPr="00316C76" w:rsidRDefault="00000000">
      <w:r w:rsidRPr="00316C76">
        <w:br w:type="page"/>
      </w:r>
    </w:p>
    <w:p w:rsidR="00E67CD7" w:rsidRPr="00316C76" w:rsidRDefault="00000000">
      <w:pPr>
        <w:pStyle w:val="Heading2"/>
        <w:keepNext w:val="0"/>
        <w:keepLines w:val="0"/>
        <w:widowControl w:val="0"/>
        <w:spacing w:before="328" w:after="0"/>
      </w:pPr>
      <w:bookmarkStart w:id="6" w:name="_heading=h.2et92p0" w:colFirst="0" w:colLast="0"/>
      <w:bookmarkEnd w:id="6"/>
      <w:r w:rsidRPr="00316C76">
        <w:lastRenderedPageBreak/>
        <w:t>Classification and Conformity Assessment</w:t>
      </w:r>
    </w:p>
    <w:tbl>
      <w:tblPr>
        <w:tblStyle w:val="a6"/>
        <w:tblW w:w="864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60"/>
        <w:gridCol w:w="2160"/>
        <w:gridCol w:w="2160"/>
        <w:gridCol w:w="2160"/>
      </w:tblGrid>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classified your products under IVDR, according to Annex VIII, and identified the most appropriate conformity assessment route?</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rPr>
                <w:color w:val="01163B"/>
                <w:sz w:val="16"/>
                <w:szCs w:val="16"/>
              </w:rPr>
            </w:pPr>
            <w:r w:rsidRPr="00316C76">
              <w:rPr>
                <w:color w:val="01163B"/>
                <w:sz w:val="16"/>
                <w:szCs w:val="16"/>
              </w:rPr>
              <w:t>Have you adequately recorded your justification for choosing the applicable classifications, and the related conformity assessment route(s)?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engaged with a Notified Body, if required?</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If so, have discussions been initiated on a sampling plan for Class B and Class C devices?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bl>
    <w:p w:rsidR="00E67CD7" w:rsidRPr="00316C76" w:rsidRDefault="00000000">
      <w:r w:rsidRPr="00316C76">
        <w:br w:type="page"/>
      </w:r>
    </w:p>
    <w:p w:rsidR="00E67CD7" w:rsidRPr="00316C76" w:rsidRDefault="00000000">
      <w:pPr>
        <w:pStyle w:val="Heading2"/>
        <w:keepNext w:val="0"/>
        <w:keepLines w:val="0"/>
        <w:widowControl w:val="0"/>
        <w:spacing w:before="328" w:after="0"/>
      </w:pPr>
      <w:bookmarkStart w:id="7" w:name="_heading=h.tyjcwt" w:colFirst="0" w:colLast="0"/>
      <w:bookmarkEnd w:id="7"/>
      <w:r w:rsidRPr="00316C76">
        <w:lastRenderedPageBreak/>
        <w:t>Annex I, II, and III requirements</w:t>
      </w:r>
    </w:p>
    <w:tbl>
      <w:tblPr>
        <w:tblStyle w:val="a7"/>
        <w:tblW w:w="864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60"/>
        <w:gridCol w:w="2160"/>
        <w:gridCol w:w="2160"/>
        <w:gridCol w:w="2160"/>
      </w:tblGrid>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conducted a gap analysis on your product Technical Files according to the requirements of Annex II?</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rPr>
                <w:color w:val="01163B"/>
                <w:sz w:val="16"/>
                <w:szCs w:val="16"/>
              </w:rPr>
            </w:pPr>
            <w:r w:rsidRPr="00316C76">
              <w:rPr>
                <w:color w:val="01163B"/>
                <w:sz w:val="16"/>
                <w:szCs w:val="16"/>
              </w:rPr>
              <w:t>If gaps have been identified, do you have a plan in place and are working towards addressing any shortfall?</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 xml:space="preserve">Do you meet the post-market surveillance requirements according to Articles 78 - 81 and Annex III? </w:t>
            </w:r>
          </w:p>
          <w:p w:rsidR="00E67CD7" w:rsidRPr="00316C76" w:rsidRDefault="00E67CD7">
            <w:pPr>
              <w:spacing w:after="0" w:line="240" w:lineRule="auto"/>
              <w:jc w:val="left"/>
              <w:rPr>
                <w:i/>
                <w:color w:val="01163B"/>
                <w:sz w:val="16"/>
                <w:szCs w:val="16"/>
              </w:rPr>
            </w:pPr>
          </w:p>
          <w:p w:rsidR="00E67CD7" w:rsidRPr="00316C76" w:rsidRDefault="00000000">
            <w:pPr>
              <w:spacing w:after="0" w:line="240" w:lineRule="auto"/>
              <w:jc w:val="left"/>
              <w:rPr>
                <w:i/>
                <w:color w:val="01163B"/>
                <w:sz w:val="16"/>
                <w:szCs w:val="16"/>
              </w:rPr>
            </w:pPr>
            <w:r w:rsidRPr="00316C76">
              <w:rPr>
                <w:i/>
                <w:color w:val="01163B"/>
                <w:sz w:val="16"/>
                <w:szCs w:val="16"/>
              </w:rPr>
              <w:t>Remember - Annex III requirements are applicable for all device classifications as of 26th May 2022, regardless of the transition provisions.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 you have a clear understanding of the General Safety and Performance Requirements (GSPRs) that apply to your products, and a justification in place for those that do not apply?</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 you have a completed GSPR checklist in place for each product?</w:t>
            </w:r>
          </w:p>
        </w:tc>
      </w:tr>
      <w:tr w:rsidR="00E67CD7"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000000">
            <w:pPr>
              <w:numPr>
                <w:ilvl w:val="0"/>
                <w:numId w:val="3"/>
              </w:numPr>
              <w:spacing w:after="0" w:line="240" w:lineRule="auto"/>
              <w:jc w:val="left"/>
              <w:rPr>
                <w:color w:val="01163B"/>
                <w:sz w:val="14"/>
                <w:szCs w:val="14"/>
              </w:rPr>
            </w:pPr>
            <w:r w:rsidRPr="00316C76">
              <w:rPr>
                <w:color w:val="01163B"/>
                <w:sz w:val="14"/>
                <w:szCs w:val="14"/>
              </w:rPr>
              <w:t>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000000">
            <w:pPr>
              <w:numPr>
                <w:ilvl w:val="0"/>
                <w:numId w:val="3"/>
              </w:numPr>
              <w:spacing w:after="0" w:line="240" w:lineRule="auto"/>
              <w:jc w:val="left"/>
              <w:rPr>
                <w:color w:val="01163B"/>
                <w:sz w:val="14"/>
                <w:szCs w:val="14"/>
              </w:rPr>
            </w:pP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000000">
            <w:pPr>
              <w:numPr>
                <w:ilvl w:val="0"/>
                <w:numId w:val="3"/>
              </w:numPr>
              <w:spacing w:after="0" w:line="240" w:lineRule="auto"/>
              <w:jc w:val="left"/>
              <w:rPr>
                <w:color w:val="01163B"/>
                <w:sz w:val="14"/>
                <w:szCs w:val="14"/>
              </w:rPr>
            </w:pP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E67CD7" w:rsidRPr="00316C76" w:rsidRDefault="00000000">
            <w:pPr>
              <w:numPr>
                <w:ilvl w:val="0"/>
                <w:numId w:val="3"/>
              </w:numPr>
              <w:spacing w:after="0" w:line="240" w:lineRule="auto"/>
              <w:jc w:val="left"/>
              <w:rPr>
                <w:color w:val="01163B"/>
                <w:sz w:val="14"/>
                <w:szCs w:val="14"/>
              </w:rPr>
            </w:pP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Does this checklist identify the methods by which the GSPR is met, the standards used to meet the GSPR, and the precise location of any supporting data?</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Are your risk management files compliant with EN ISO 14971:2019?</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performed a Benefit/Risk analysis according to the requirements of Chapter I, Annex I?</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nil"/>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Have you assigned UDI and Basic-UDI codes to your devices?</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rPr>
                <w:color w:val="01163B"/>
                <w:sz w:val="16"/>
                <w:szCs w:val="16"/>
              </w:rPr>
            </w:pPr>
            <w:r w:rsidRPr="00316C76">
              <w:rPr>
                <w:color w:val="01163B"/>
                <w:sz w:val="16"/>
                <w:szCs w:val="16"/>
              </w:rPr>
              <w:t>Are you aware of the UDI transition dates for the different device classifications, and how these dates relate to your product portfolio?</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i/>
                <w:color w:val="01163B"/>
                <w:sz w:val="16"/>
                <w:szCs w:val="16"/>
              </w:rPr>
            </w:pPr>
            <w:r w:rsidRPr="00316C76">
              <w:rPr>
                <w:color w:val="01163B"/>
                <w:sz w:val="16"/>
                <w:szCs w:val="16"/>
              </w:rPr>
              <w:t>Are you familiar with the documentation that requires reference to the Basic-UDI?</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bl>
    <w:p w:rsidR="00E67CD7" w:rsidRPr="00316C76" w:rsidRDefault="00000000">
      <w:r w:rsidRPr="00316C76">
        <w:br w:type="page"/>
      </w:r>
    </w:p>
    <w:p w:rsidR="00E67CD7" w:rsidRPr="00316C76" w:rsidRDefault="00000000">
      <w:pPr>
        <w:pStyle w:val="Heading2"/>
        <w:keepNext w:val="0"/>
        <w:keepLines w:val="0"/>
        <w:widowControl w:val="0"/>
        <w:spacing w:before="328" w:after="0"/>
      </w:pPr>
      <w:bookmarkStart w:id="8" w:name="_heading=h.3dy6vkm" w:colFirst="0" w:colLast="0"/>
      <w:bookmarkEnd w:id="8"/>
      <w:r w:rsidRPr="00316C76">
        <w:lastRenderedPageBreak/>
        <w:t>Annex I, II, and III requirements</w:t>
      </w:r>
    </w:p>
    <w:tbl>
      <w:tblPr>
        <w:tblStyle w:val="a8"/>
        <w:tblW w:w="864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160"/>
        <w:gridCol w:w="2160"/>
        <w:gridCol w:w="2160"/>
        <w:gridCol w:w="2160"/>
      </w:tblGrid>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color w:val="01163B"/>
                <w:sz w:val="16"/>
                <w:szCs w:val="16"/>
              </w:rPr>
            </w:pPr>
            <w:r w:rsidRPr="00316C76">
              <w:rPr>
                <w:color w:val="01163B"/>
                <w:sz w:val="16"/>
                <w:szCs w:val="16"/>
              </w:rPr>
              <w:t xml:space="preserve">Have you </w:t>
            </w:r>
            <w:proofErr w:type="gramStart"/>
            <w:r w:rsidRPr="00316C76">
              <w:rPr>
                <w:color w:val="01163B"/>
                <w:sz w:val="16"/>
                <w:szCs w:val="16"/>
              </w:rPr>
              <w:t>taken into account</w:t>
            </w:r>
            <w:proofErr w:type="gramEnd"/>
            <w:r w:rsidRPr="00316C76">
              <w:rPr>
                <w:color w:val="01163B"/>
                <w:sz w:val="16"/>
                <w:szCs w:val="16"/>
              </w:rPr>
              <w:t xml:space="preserve"> all applicable packaging levels for your UDI assignment?</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i/>
                <w:color w:val="01163B"/>
                <w:sz w:val="16"/>
                <w:szCs w:val="16"/>
              </w:rPr>
            </w:pPr>
            <w:r w:rsidRPr="00316C76">
              <w:rPr>
                <w:color w:val="01163B"/>
                <w:sz w:val="16"/>
                <w:szCs w:val="16"/>
              </w:rPr>
              <w:t xml:space="preserve">Have you registered your establishment in Eudamed? </w:t>
            </w:r>
            <w:r w:rsidRPr="00316C76">
              <w:rPr>
                <w:i/>
                <w:color w:val="01163B"/>
                <w:sz w:val="16"/>
                <w:szCs w:val="16"/>
              </w:rPr>
              <w:t>You must register by 2024</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r w:rsidR="00E67CD7" w:rsidRPr="00316C76">
        <w:trPr>
          <w:trHeight w:val="288"/>
          <w:jc w:val="center"/>
        </w:trPr>
        <w:tc>
          <w:tcPr>
            <w:tcW w:w="8640" w:type="dxa"/>
            <w:gridSpan w:val="4"/>
            <w:tcBorders>
              <w:top w:val="single" w:sz="4" w:space="0" w:color="01163B"/>
              <w:left w:val="nil"/>
              <w:bottom w:val="nil"/>
              <w:right w:val="nil"/>
            </w:tcBorders>
            <w:tcMar>
              <w:top w:w="115" w:type="dxa"/>
              <w:left w:w="115" w:type="dxa"/>
              <w:bottom w:w="115" w:type="dxa"/>
              <w:right w:w="115" w:type="dxa"/>
            </w:tcMar>
            <w:vAlign w:val="center"/>
          </w:tcPr>
          <w:p w:rsidR="00E67CD7" w:rsidRPr="00316C76" w:rsidRDefault="00000000">
            <w:pPr>
              <w:spacing w:after="0" w:line="240" w:lineRule="auto"/>
              <w:jc w:val="left"/>
              <w:rPr>
                <w:i/>
                <w:color w:val="01163B"/>
                <w:sz w:val="16"/>
                <w:szCs w:val="16"/>
              </w:rPr>
            </w:pPr>
            <w:r w:rsidRPr="00316C76">
              <w:rPr>
                <w:color w:val="01163B"/>
                <w:sz w:val="16"/>
                <w:szCs w:val="16"/>
              </w:rPr>
              <w:t xml:space="preserve">Have you registered your products in Eudamed? </w:t>
            </w:r>
            <w:r w:rsidRPr="00316C76">
              <w:rPr>
                <w:i/>
                <w:color w:val="01163B"/>
                <w:sz w:val="16"/>
                <w:szCs w:val="16"/>
              </w:rPr>
              <w:t>You must register by 2026 Q2</w:t>
            </w:r>
          </w:p>
        </w:tc>
      </w:tr>
      <w:tr w:rsidR="008037AC" w:rsidRPr="00316C76">
        <w:trPr>
          <w:trHeight w:val="288"/>
          <w:jc w:val="center"/>
        </w:trPr>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color w:val="01163B"/>
                <w:sz w:val="14"/>
                <w:szCs w:val="14"/>
              </w:rPr>
              <w:t xml:space="preserve"> Yes</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Not Sure</w:t>
            </w:r>
          </w:p>
        </w:tc>
        <w:tc>
          <w:tcPr>
            <w:tcW w:w="2160" w:type="dxa"/>
            <w:tcBorders>
              <w:top w:val="nil"/>
              <w:left w:val="nil"/>
              <w:bottom w:val="single" w:sz="4" w:space="0" w:color="01163B"/>
              <w:right w:val="nil"/>
            </w:tcBorders>
            <w:tcMar>
              <w:top w:w="115" w:type="dxa"/>
              <w:left w:w="115" w:type="dxa"/>
              <w:bottom w:w="115" w:type="dxa"/>
              <w:right w:w="115" w:type="dxa"/>
            </w:tcMar>
            <w:vAlign w:val="center"/>
          </w:tcPr>
          <w:p w:rsidR="008037AC" w:rsidRPr="00316C76" w:rsidRDefault="008037AC" w:rsidP="008037AC">
            <w:pPr>
              <w:numPr>
                <w:ilvl w:val="0"/>
                <w:numId w:val="3"/>
              </w:numPr>
              <w:spacing w:after="0" w:line="240" w:lineRule="auto"/>
              <w:jc w:val="left"/>
              <w:rPr>
                <w:color w:val="01163B"/>
                <w:sz w:val="14"/>
                <w:szCs w:val="14"/>
              </w:rPr>
            </w:pPr>
            <w:r w:rsidRPr="00316C76">
              <w:rPr>
                <w:b/>
                <w:bCs/>
                <w:color w:val="01163B"/>
                <w:sz w:val="14"/>
                <w:szCs w:val="14"/>
              </w:rPr>
              <w:fldChar w:fldCharType="begin">
                <w:ffData>
                  <w:name w:val="Check1"/>
                  <w:enabled/>
                  <w:calcOnExit w:val="0"/>
                  <w:checkBox>
                    <w:sizeAuto/>
                    <w:default w:val="0"/>
                    <w:checked w:val="0"/>
                  </w:checkBox>
                </w:ffData>
              </w:fldChar>
            </w:r>
            <w:r w:rsidRPr="00316C76">
              <w:rPr>
                <w:b/>
                <w:bCs/>
                <w:color w:val="01163B"/>
                <w:sz w:val="14"/>
                <w:szCs w:val="14"/>
              </w:rPr>
              <w:instrText xml:space="preserve"> FORMCHECKBOX </w:instrText>
            </w:r>
            <w:r w:rsidRPr="00316C76">
              <w:rPr>
                <w:b/>
                <w:bCs/>
                <w:color w:val="01163B"/>
                <w:sz w:val="14"/>
                <w:szCs w:val="14"/>
              </w:rPr>
            </w:r>
            <w:r w:rsidRPr="00316C76">
              <w:rPr>
                <w:b/>
                <w:bCs/>
                <w:color w:val="01163B"/>
                <w:sz w:val="14"/>
                <w:szCs w:val="14"/>
              </w:rPr>
              <w:fldChar w:fldCharType="separate"/>
            </w:r>
            <w:r w:rsidRPr="00316C76">
              <w:rPr>
                <w:b/>
                <w:bCs/>
                <w:color w:val="01163B"/>
                <w:sz w:val="14"/>
                <w:szCs w:val="14"/>
              </w:rPr>
              <w:fldChar w:fldCharType="end"/>
            </w:r>
            <w:r w:rsidRPr="00316C76">
              <w:rPr>
                <w:b/>
                <w:bCs/>
                <w:color w:val="01163B"/>
                <w:sz w:val="14"/>
                <w:szCs w:val="14"/>
              </w:rPr>
              <w:t xml:space="preserve"> </w:t>
            </w:r>
            <w:r w:rsidRPr="00316C76">
              <w:rPr>
                <w:color w:val="01163B"/>
                <w:sz w:val="14"/>
                <w:szCs w:val="14"/>
              </w:rPr>
              <w:t>N/A</w:t>
            </w:r>
          </w:p>
        </w:tc>
      </w:tr>
    </w:tbl>
    <w:p w:rsidR="00E67CD7" w:rsidRPr="00316C76" w:rsidRDefault="00E67CD7"/>
    <w:p w:rsidR="00E67CD7" w:rsidRPr="00316C76" w:rsidRDefault="00E67CD7"/>
    <w:p w:rsidR="00E67CD7" w:rsidRPr="00316C76" w:rsidRDefault="00000000">
      <w:pPr>
        <w:rPr>
          <w:b/>
        </w:rPr>
      </w:pPr>
      <w:r w:rsidRPr="00316C76">
        <w:rPr>
          <w:b/>
        </w:rPr>
        <w:t>Add up your responses and receive your score below:</w:t>
      </w:r>
    </w:p>
    <w:p w:rsidR="00E67CD7" w:rsidRPr="00316C76" w:rsidRDefault="00000000">
      <w:r w:rsidRPr="00316C76">
        <w:t>Tally up your ‘yes’ answers above and find out where you are in your IVDR journey.</w:t>
      </w:r>
    </w:p>
    <w:p w:rsidR="00E67CD7" w:rsidRPr="00316C76" w:rsidRDefault="00000000">
      <w:pPr>
        <w:numPr>
          <w:ilvl w:val="0"/>
          <w:numId w:val="1"/>
        </w:numPr>
        <w:spacing w:after="0"/>
      </w:pPr>
      <w:r w:rsidRPr="00316C76">
        <w:rPr>
          <w:b/>
        </w:rPr>
        <w:t>Between 1 - 10</w:t>
      </w:r>
      <w:r w:rsidRPr="00316C76">
        <w:t xml:space="preserve"> Let’s discuss your current IVDR transition in further detail.</w:t>
      </w:r>
    </w:p>
    <w:p w:rsidR="00316C76" w:rsidRPr="00316C76" w:rsidRDefault="00000000" w:rsidP="00316C76">
      <w:pPr>
        <w:numPr>
          <w:ilvl w:val="0"/>
          <w:numId w:val="1"/>
        </w:numPr>
        <w:spacing w:after="0"/>
      </w:pPr>
      <w:r w:rsidRPr="00316C76">
        <w:rPr>
          <w:b/>
        </w:rPr>
        <w:t>Between 10 - 20</w:t>
      </w:r>
      <w:r w:rsidRPr="00316C76">
        <w:t xml:space="preserve"> You’ve made a good start but to help you get you further along, our expert team can help.</w:t>
      </w:r>
    </w:p>
    <w:p w:rsidR="00E67CD7" w:rsidRPr="00316C76" w:rsidRDefault="00316C76" w:rsidP="00316C76">
      <w:pPr>
        <w:numPr>
          <w:ilvl w:val="0"/>
          <w:numId w:val="1"/>
        </w:numPr>
        <w:spacing w:after="0"/>
        <w:sectPr w:rsidR="00E67CD7" w:rsidRPr="00316C76" w:rsidSect="00316C76">
          <w:pgSz w:w="11906" w:h="16838"/>
          <w:pgMar w:top="1701" w:right="1440" w:bottom="816" w:left="1440" w:header="431" w:footer="1134" w:gutter="0"/>
          <w:cols w:space="720"/>
        </w:sectPr>
      </w:pPr>
      <w:r w:rsidRPr="00316C76">
        <w:rPr>
          <w:noProof/>
        </w:rPr>
        <w:drawing>
          <wp:anchor distT="114300" distB="114300" distL="114300" distR="114300" simplePos="0" relativeHeight="251662336" behindDoc="1" locked="0" layoutInCell="1" hidden="0" allowOverlap="1" wp14:anchorId="3E6BCA61" wp14:editId="483FBAD0">
            <wp:simplePos x="0" y="0"/>
            <wp:positionH relativeFrom="column">
              <wp:posOffset>-914400</wp:posOffset>
            </wp:positionH>
            <wp:positionV relativeFrom="paragraph">
              <wp:posOffset>566293</wp:posOffset>
            </wp:positionV>
            <wp:extent cx="7772400" cy="4857115"/>
            <wp:effectExtent l="0" t="0" r="0" b="0"/>
            <wp:wrapNone/>
            <wp:docPr id="10" name="image3.png" descr="A screenshot of a phone call&#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3.png" descr="A screenshot of a phone call&#10;&#10;Description automatically generated"/>
                    <pic:cNvPicPr preferRelativeResize="0"/>
                  </pic:nvPicPr>
                  <pic:blipFill>
                    <a:blip r:embed="rId11"/>
                    <a:srcRect/>
                    <a:stretch>
                      <a:fillRect/>
                    </a:stretch>
                  </pic:blipFill>
                  <pic:spPr>
                    <a:xfrm>
                      <a:off x="0" y="0"/>
                      <a:ext cx="7772400" cy="4857115"/>
                    </a:xfrm>
                    <a:prstGeom prst="rect">
                      <a:avLst/>
                    </a:prstGeom>
                    <a:ln/>
                  </pic:spPr>
                </pic:pic>
              </a:graphicData>
            </a:graphic>
            <wp14:sizeRelV relativeFrom="margin">
              <wp14:pctHeight>0</wp14:pctHeight>
            </wp14:sizeRelV>
          </wp:anchor>
        </w:drawing>
      </w:r>
      <w:r w:rsidRPr="00316C76">
        <w:rPr>
          <w:b/>
        </w:rPr>
        <w:t>Between 20 - 30</w:t>
      </w:r>
      <w:r w:rsidRPr="00316C76">
        <w:t xml:space="preserve"> Great job! If you feel you require any additional support, please don’t hesitate to contact us.</w:t>
      </w:r>
    </w:p>
    <w:p w:rsidR="00E67CD7" w:rsidRPr="00316C76" w:rsidRDefault="00000000">
      <w:pPr>
        <w:numPr>
          <w:ilvl w:val="0"/>
          <w:numId w:val="4"/>
        </w:numPr>
        <w:tabs>
          <w:tab w:val="left" w:pos="839"/>
        </w:tabs>
      </w:pPr>
      <w:r w:rsidRPr="00316C76">
        <w:rPr>
          <w:noProof/>
        </w:rPr>
        <w:lastRenderedPageBreak/>
        <w:drawing>
          <wp:anchor distT="0" distB="0" distL="0" distR="0" simplePos="0" relativeHeight="251660288" behindDoc="0" locked="0" layoutInCell="1" hidden="0" allowOverlap="1">
            <wp:simplePos x="0" y="0"/>
            <wp:positionH relativeFrom="page">
              <wp:posOffset>-73152</wp:posOffset>
            </wp:positionH>
            <wp:positionV relativeFrom="page">
              <wp:posOffset>-126025</wp:posOffset>
            </wp:positionV>
            <wp:extent cx="7652657" cy="10813329"/>
            <wp:effectExtent l="0" t="0" r="5715" b="0"/>
            <wp:wrapSquare wrapText="bothSides" distT="0" distB="0" distL="0" distR="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7663695" cy="10828926"/>
                    </a:xfrm>
                    <a:prstGeom prst="rect">
                      <a:avLst/>
                    </a:prstGeom>
                    <a:ln/>
                  </pic:spPr>
                </pic:pic>
              </a:graphicData>
            </a:graphic>
            <wp14:sizeRelH relativeFrom="margin">
              <wp14:pctWidth>0</wp14:pctWidth>
            </wp14:sizeRelH>
            <wp14:sizeRelV relativeFrom="margin">
              <wp14:pctHeight>0</wp14:pctHeight>
            </wp14:sizeRelV>
          </wp:anchor>
        </w:drawing>
      </w:r>
    </w:p>
    <w:sectPr w:rsidR="00E67CD7" w:rsidRPr="00316C76" w:rsidSect="00316C76">
      <w:headerReference w:type="default" r:id="rId13"/>
      <w:pgSz w:w="11906" w:h="16838"/>
      <w:pgMar w:top="1701" w:right="1440" w:bottom="816" w:left="1440" w:header="43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30E90" w:rsidRDefault="00030E90">
      <w:pPr>
        <w:spacing w:after="0" w:line="240" w:lineRule="auto"/>
      </w:pPr>
      <w:r>
        <w:separator/>
      </w:r>
    </w:p>
  </w:endnote>
  <w:endnote w:type="continuationSeparator" w:id="0">
    <w:p w:rsidR="00030E90" w:rsidRDefault="00030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B8B63F2-A0CF-6E43-B0BF-489F8D4F28E3}"/>
  </w:font>
  <w:font w:name="Roboto">
    <w:panose1 w:val="02000000000000000000"/>
    <w:charset w:val="00"/>
    <w:family w:val="auto"/>
    <w:pitch w:val="variable"/>
    <w:sig w:usb0="E0000AFF" w:usb1="5000217F" w:usb2="00000021" w:usb3="00000000" w:csb0="0000019F" w:csb1="00000000"/>
    <w:embedRegular r:id="rId2" w:fontKey="{CE34F08E-2382-F848-8C02-41B2F2ED4DBA}"/>
    <w:embedBold r:id="rId3" w:fontKey="{0EE2C949-06B1-C641-99C3-2363B842030B}"/>
    <w:embedItalic r:id="rId4" w:fontKey="{B5CFA444-65FE-2841-93A4-9124CE57BCC4}"/>
  </w:font>
  <w:font w:name="Roboto Medium">
    <w:panose1 w:val="02000000000000000000"/>
    <w:charset w:val="00"/>
    <w:family w:val="auto"/>
    <w:pitch w:val="variable"/>
    <w:sig w:usb0="E0000AFF" w:usb1="5000217F" w:usb2="00000021" w:usb3="00000000" w:csb0="0000019F" w:csb1="00000000"/>
    <w:embedRegular r:id="rId5" w:fontKey="{64D70ABE-F04B-EB4A-8A24-EF3651F3126C}"/>
  </w:font>
  <w:font w:name="Arial">
    <w:panose1 w:val="020B0604020202020204"/>
    <w:charset w:val="00"/>
    <w:family w:val="swiss"/>
    <w:pitch w:val="variable"/>
    <w:sig w:usb0="E0002AFF" w:usb1="C0007843" w:usb2="00000009" w:usb3="00000000" w:csb0="000001FF" w:csb1="00000000"/>
    <w:embedRegular r:id="rId6" w:fontKey="{022C955E-C2AC-C348-BF96-9B1E0DC246D5}"/>
  </w:font>
  <w:font w:name="Aptos Display">
    <w:panose1 w:val="020B0004020202020204"/>
    <w:charset w:val="00"/>
    <w:family w:val="swiss"/>
    <w:pitch w:val="variable"/>
    <w:sig w:usb0="20000287" w:usb1="00000003" w:usb2="00000000" w:usb3="00000000" w:csb0="0000019F" w:csb1="00000000"/>
    <w:embedRegular r:id="rId7" w:fontKey="{D6279D45-08E4-DA41-8A13-7FAD64A31DED}"/>
  </w:font>
  <w:font w:name="Aptos">
    <w:panose1 w:val="020B0004020202020204"/>
    <w:charset w:val="00"/>
    <w:family w:val="swiss"/>
    <w:pitch w:val="variable"/>
    <w:sig w:usb0="20000287" w:usb1="00000003" w:usb2="00000000" w:usb3="00000000" w:csb0="0000019F" w:csb1="00000000"/>
    <w:embedRegular r:id="rId8" w:fontKey="{7FB6A07E-D862-1640-8E77-6CCC0DBA6B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67CD7" w:rsidRDefault="00000000">
    <w:r>
      <w:rPr>
        <w:noProof/>
      </w:rPr>
      <w:drawing>
        <wp:anchor distT="0" distB="0" distL="0" distR="0" simplePos="0" relativeHeight="251659264" behindDoc="1" locked="0" layoutInCell="1" hidden="0" allowOverlap="1">
          <wp:simplePos x="0" y="0"/>
          <wp:positionH relativeFrom="column">
            <wp:posOffset>-989965</wp:posOffset>
          </wp:positionH>
          <wp:positionV relativeFrom="paragraph">
            <wp:posOffset>-141732</wp:posOffset>
          </wp:positionV>
          <wp:extent cx="7748478" cy="1304295"/>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48478" cy="13042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30E90" w:rsidRDefault="00030E90">
      <w:pPr>
        <w:spacing w:after="0" w:line="240" w:lineRule="auto"/>
      </w:pPr>
      <w:r>
        <w:separator/>
      </w:r>
    </w:p>
  </w:footnote>
  <w:footnote w:type="continuationSeparator" w:id="0">
    <w:p w:rsidR="00030E90" w:rsidRDefault="00030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67CD7" w:rsidRDefault="00000000">
    <w:r>
      <w:rPr>
        <w:noProof/>
      </w:rPr>
      <w:drawing>
        <wp:anchor distT="0" distB="0" distL="0" distR="0" simplePos="0" relativeHeight="251658240" behindDoc="1" locked="0" layoutInCell="1" hidden="0" allowOverlap="1">
          <wp:simplePos x="0" y="0"/>
          <wp:positionH relativeFrom="column">
            <wp:posOffset>-1152522</wp:posOffset>
          </wp:positionH>
          <wp:positionV relativeFrom="paragraph">
            <wp:posOffset>-257173</wp:posOffset>
          </wp:positionV>
          <wp:extent cx="7836408" cy="1202125"/>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t="24603" b="-24603"/>
                  <a:stretch>
                    <a:fillRect/>
                  </a:stretch>
                </pic:blipFill>
                <pic:spPr>
                  <a:xfrm>
                    <a:off x="0" y="0"/>
                    <a:ext cx="7836408" cy="12021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67CD7" w:rsidRDefault="00E67C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57"/>
    <w:multiLevelType w:val="multilevel"/>
    <w:tmpl w:val="4E86F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F26ECA"/>
    <w:multiLevelType w:val="multilevel"/>
    <w:tmpl w:val="27FA1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F22A8C"/>
    <w:multiLevelType w:val="multilevel"/>
    <w:tmpl w:val="D3EEFDFC"/>
    <w:lvl w:ilvl="0">
      <w:numFmt w:val="bullet"/>
      <w:lvlText w:val="•"/>
      <w:lvlJc w:val="left"/>
      <w:pPr>
        <w:ind w:left="840" w:hanging="360"/>
      </w:pPr>
      <w:rPr>
        <w:u w:val="none"/>
      </w:rPr>
    </w:lvl>
    <w:lvl w:ilvl="1">
      <w:numFmt w:val="bullet"/>
      <w:lvlText w:val="•"/>
      <w:lvlJc w:val="left"/>
      <w:pPr>
        <w:ind w:left="1682" w:hanging="360"/>
      </w:pPr>
      <w:rPr>
        <w:u w:val="none"/>
      </w:rPr>
    </w:lvl>
    <w:lvl w:ilvl="2">
      <w:numFmt w:val="bullet"/>
      <w:lvlText w:val="•"/>
      <w:lvlJc w:val="left"/>
      <w:pPr>
        <w:ind w:left="2525" w:hanging="360"/>
      </w:pPr>
      <w:rPr>
        <w:u w:val="none"/>
      </w:rPr>
    </w:lvl>
    <w:lvl w:ilvl="3">
      <w:numFmt w:val="bullet"/>
      <w:lvlText w:val="•"/>
      <w:lvlJc w:val="left"/>
      <w:pPr>
        <w:ind w:left="3367" w:hanging="360"/>
      </w:pPr>
      <w:rPr>
        <w:u w:val="none"/>
      </w:rPr>
    </w:lvl>
    <w:lvl w:ilvl="4">
      <w:numFmt w:val="bullet"/>
      <w:lvlText w:val="•"/>
      <w:lvlJc w:val="left"/>
      <w:pPr>
        <w:ind w:left="4210" w:hanging="360"/>
      </w:pPr>
      <w:rPr>
        <w:u w:val="none"/>
      </w:rPr>
    </w:lvl>
    <w:lvl w:ilvl="5">
      <w:numFmt w:val="bullet"/>
      <w:lvlText w:val="•"/>
      <w:lvlJc w:val="left"/>
      <w:pPr>
        <w:ind w:left="5053" w:hanging="360"/>
      </w:pPr>
      <w:rPr>
        <w:u w:val="none"/>
      </w:rPr>
    </w:lvl>
    <w:lvl w:ilvl="6">
      <w:numFmt w:val="bullet"/>
      <w:lvlText w:val="•"/>
      <w:lvlJc w:val="left"/>
      <w:pPr>
        <w:ind w:left="5895" w:hanging="360"/>
      </w:pPr>
      <w:rPr>
        <w:u w:val="none"/>
      </w:rPr>
    </w:lvl>
    <w:lvl w:ilvl="7">
      <w:numFmt w:val="bullet"/>
      <w:lvlText w:val="•"/>
      <w:lvlJc w:val="left"/>
      <w:pPr>
        <w:ind w:left="6738" w:hanging="360"/>
      </w:pPr>
      <w:rPr>
        <w:u w:val="none"/>
      </w:rPr>
    </w:lvl>
    <w:lvl w:ilvl="8">
      <w:numFmt w:val="bullet"/>
      <w:lvlText w:val="•"/>
      <w:lvlJc w:val="left"/>
      <w:pPr>
        <w:ind w:left="7581" w:hanging="360"/>
      </w:pPr>
      <w:rPr>
        <w:u w:val="none"/>
      </w:rPr>
    </w:lvl>
  </w:abstractNum>
  <w:abstractNum w:abstractNumId="3" w15:restartNumberingAfterBreak="0">
    <w:nsid w:val="614E49F8"/>
    <w:multiLevelType w:val="multilevel"/>
    <w:tmpl w:val="D6841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5309226">
    <w:abstractNumId w:val="0"/>
  </w:num>
  <w:num w:numId="2" w16cid:durableId="1502772318">
    <w:abstractNumId w:val="1"/>
  </w:num>
  <w:num w:numId="3" w16cid:durableId="878665489">
    <w:abstractNumId w:val="3"/>
  </w:num>
  <w:num w:numId="4" w16cid:durableId="674386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74"/>
  <w:embedTrueTypeFonts/>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CD7"/>
    <w:rsid w:val="00030E90"/>
    <w:rsid w:val="0019609B"/>
    <w:rsid w:val="002B2FBB"/>
    <w:rsid w:val="00316C76"/>
    <w:rsid w:val="008037AC"/>
    <w:rsid w:val="00C44493"/>
    <w:rsid w:val="00C53707"/>
    <w:rsid w:val="00E67C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FAC5E-7416-1C41-A7F2-FA1AD445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Roboto" w:hAnsi="Roboto" w:cs="Roboto"/>
        <w:lang w:val="en-GB" w:eastAsia="en-GB" w:bidi="ar-SA"/>
      </w:rPr>
    </w:rPrDefault>
    <w:pPrDefault>
      <w:pPr>
        <w:spacing w:after="20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40" w:lineRule="auto"/>
      <w:jc w:val="left"/>
      <w:outlineLvl w:val="0"/>
    </w:pPr>
    <w:rPr>
      <w:b/>
      <w:sz w:val="58"/>
      <w:szCs w:val="58"/>
    </w:rPr>
  </w:style>
  <w:style w:type="paragraph" w:styleId="Heading2">
    <w:name w:val="heading 2"/>
    <w:basedOn w:val="Normal"/>
    <w:next w:val="Normal"/>
    <w:uiPriority w:val="9"/>
    <w:unhideWhenUsed/>
    <w:qFormat/>
    <w:pPr>
      <w:keepNext/>
      <w:keepLines/>
      <w:tabs>
        <w:tab w:val="left" w:pos="393"/>
      </w:tabs>
      <w:spacing w:before="320" w:after="80"/>
      <w:jc w:val="left"/>
      <w:outlineLvl w:val="1"/>
    </w:pPr>
    <w:rPr>
      <w:b/>
      <w:color w:val="01163B"/>
      <w:sz w:val="26"/>
      <w:szCs w:val="26"/>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left="958" w:right="2"/>
      <w:jc w:val="center"/>
    </w:pPr>
    <w:rPr>
      <w:rFonts w:ascii="Roboto Medium" w:eastAsia="Roboto Medium" w:hAnsi="Roboto Medium" w:cs="Roboto Medium"/>
      <w:color w:val="07183A"/>
      <w:sz w:val="40"/>
      <w:szCs w:val="40"/>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316C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C76"/>
  </w:style>
  <w:style w:type="paragraph" w:styleId="Footer">
    <w:name w:val="footer"/>
    <w:basedOn w:val="Normal"/>
    <w:link w:val="FooterChar"/>
    <w:uiPriority w:val="99"/>
    <w:unhideWhenUsed/>
    <w:rsid w:val="00316C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EVStyARbFoZLsd3lJL2UcPG3Q==">CgMxLjAyCGguZ2pkZ3hzMgloLjMwajB6bGwyCWguMWZvYjl0ZTIOaC50N3RqMHhqZTFkYWQyCWguM3pueXNoNzIJaC4yZXQ5MnAwMghoLnR5amN3dDIJaC4zZHk2dmttOAByITFFQmhPM0JlaUZmY2tITzBVVXQyR244dDVGNW9halVaNw==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Ellen Roche</cp:lastModifiedBy>
  <cp:revision>3</cp:revision>
  <dcterms:created xsi:type="dcterms:W3CDTF">2024-10-21T13:56:00Z</dcterms:created>
  <dcterms:modified xsi:type="dcterms:W3CDTF">2024-10-21T14:29:00Z</dcterms:modified>
</cp:coreProperties>
</file>